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IBM Plex Mono" w:cs="IBM Plex Mono" w:eastAsia="IBM Plex Mono" w:hAnsi="IBM Plex Mono"/>
          <w:b/>
          <w:bCs/>
          <w:color w:val="A67C3D"/>
          <w:spacing w:val="20"/>
          <w:sz w:val="16"/>
          <w:szCs w:val="16"/>
        </w:rPr>
        <w:t xml:space="preserve">WHITEPAPER  ·  LAYER 01</w:t>
      </w:r>
    </w:p>
    <w:p>
      <w:pPr>
        <w:spacing w:after="200"/>
      </w:pPr>
      <w:r>
        <w:rPr>
          <w:rFonts w:ascii="Newsreader" w:cs="Newsreader" w:eastAsia="Newsreader" w:hAnsi="Newsreader"/>
          <w:b/>
          <w:bCs/>
          <w:color w:val="16202B"/>
          <w:sz w:val="46"/>
          <w:szCs w:val="46"/>
        </w:rPr>
        <w:t xml:space="preserve">Building a Single Source of Truth for Executive Reporting</w:t>
      </w:r>
    </w:p>
    <w:p>
      <w:pPr>
        <w:spacing w:after="220"/>
      </w:pPr>
      <w:r>
        <w:rPr>
          <w:rFonts w:ascii="Newsreader" w:cs="Newsreader" w:eastAsia="Newsreader" w:hAnsi="Newsreader"/>
          <w:i/>
          <w:iCs/>
          <w:color w:val="3A4552"/>
          <w:sz w:val="26"/>
          <w:szCs w:val="26"/>
        </w:rPr>
        <w:t xml:space="preserve">Why dashboards disagree, and the audit-first approach that gets everyone looking at the same number.</w:t>
      </w:r>
    </w:p>
    <w:p>
      <w:pPr>
        <w:pBdr>
          <w:bottom w:val="single" w:color="D8D9D3" w:sz="6" w:space="1"/>
        </w:pBdr>
        <w:spacing w:after="120"/>
      </w:pPr>
      <w:r>
        <w:rPr>
          <w:sz w:val="2"/>
          <w:szCs w:val="2"/>
        </w:rPr>
        <w:t xml:space="preserve"/>
      </w:r>
    </w:p>
    <w:p>
      <w:pPr>
        <w:spacing w:after="380"/>
      </w:pPr>
      <w:r>
        <w:rPr>
          <w:rFonts w:ascii="IBM Plex Mono" w:cs="IBM Plex Mono" w:eastAsia="IBM Plex Mono" w:hAnsi="IBM Plex Mono"/>
          <w:color w:val="5B6B7A"/>
          <w:sz w:val="16"/>
          <w:szCs w:val="16"/>
        </w:rPr>
        <w:t xml:space="preserve">Tesatori Technologies   ·   Reporting &amp; Dashboards, Layer 01   ·   2026</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Executive summary</w:t>
      </w:r>
    </w:p>
    <w:p>
      <w:pPr>
        <w:spacing w:after="180" w:line="320"/>
        <w:jc w:val="both"/>
      </w:pPr>
      <w:r>
        <w:rPr>
          <w:rFonts w:ascii="IBM Plex Sans" w:cs="IBM Plex Sans" w:eastAsia="IBM Plex Sans" w:hAnsi="IBM Plex Sans"/>
          <w:color w:val="3A4552"/>
          <w:sz w:val="21"/>
          <w:szCs w:val="21"/>
        </w:rPr>
        <w:t xml:space="preserve">Every growing company eventually hits the same meeting: three people open three dashboards, and three different revenue numbers show up on the screen. Nobody did anything wrong. Each number is correct, according to the system that produced it. The problem isn't a bad dashboard — it's that there was never one agreed answer to begin with.</w:t>
      </w:r>
    </w:p>
    <w:p>
      <w:pPr>
        <w:spacing w:after="180" w:line="320"/>
        <w:jc w:val="both"/>
      </w:pPr>
      <w:r>
        <w:rPr>
          <w:rFonts w:ascii="IBM Plex Sans" w:cs="IBM Plex Sans" w:eastAsia="IBM Plex Sans" w:hAnsi="IBM Plex Sans"/>
          <w:color w:val="3A4552"/>
          <w:sz w:val="21"/>
          <w:szCs w:val="21"/>
        </w:rPr>
        <w:t xml:space="preserve">This paper covers why that happens, why buying another BI tool rarely fixes it, and the audit-first method we use to get a leadership team looking at one number they all trust — usually inside eight weeks, without a platform migration.</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symptom: dashboards that disagree</w:t>
      </w:r>
    </w:p>
    <w:p>
      <w:pPr>
        <w:spacing w:after="180" w:line="320"/>
        <w:jc w:val="both"/>
      </w:pPr>
      <w:r>
        <w:rPr>
          <w:rFonts w:ascii="IBM Plex Sans" w:cs="IBM Plex Sans" w:eastAsia="IBM Plex Sans" w:hAnsi="IBM Plex Sans"/>
          <w:color w:val="3A4552"/>
          <w:sz w:val="21"/>
          <w:szCs w:val="21"/>
        </w:rPr>
        <w:t xml:space="preserve">By the time a company has fifty or a hundred employees, it usually has several ways to answer the same question. Sales has a pipeline number in the CRM. Finance has a revenue number in the ledger. Marketing has a growth number in a spreadsheet someone built two years ago and everyone's afraid to touch. Each is defensible. None of them match.</w:t>
      </w:r>
    </w:p>
    <w:p>
      <w:pPr>
        <w:spacing w:after="180" w:line="320"/>
        <w:jc w:val="both"/>
      </w:pPr>
      <w:r>
        <w:rPr>
          <w:rFonts w:ascii="IBM Plex Sans" w:cs="IBM Plex Sans" w:eastAsia="IBM Plex Sans" w:hAnsi="IBM Plex Sans"/>
          <w:color w:val="3A4552"/>
          <w:sz w:val="21"/>
          <w:szCs w:val="21"/>
        </w:rPr>
        <w:t xml:space="preserve">The disagreement is rarely dramatic — it's a few percentage points, a different fiscal week boundary, a "closed-won" that means something slightly different to sales than it does to finance. But a few percentage points is enough. Once a leadership team catches one dashboard being wrong, they quietly stop trusting all of them, and the conversation shifts from "what does the data say" to "whose number do we use." That question gets litigated in every meeting, forever, until someone fixes the underlying cause.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Why it happens</w:t>
      </w:r>
    </w:p>
    <w:p>
      <w:pPr>
        <w:spacing w:after="180" w:line="320"/>
        <w:jc w:val="both"/>
      </w:pPr>
      <w:r>
        <w:rPr>
          <w:rFonts w:ascii="IBM Plex Sans" w:cs="IBM Plex Sans" w:eastAsia="IBM Plex Sans" w:hAnsi="IBM Plex Sans"/>
          <w:color w:val="3A4552"/>
          <w:sz w:val="21"/>
          <w:szCs w:val="21"/>
        </w:rPr>
        <w:t xml:space="preserve">Three patterns show up in almost every audit we run.</w:t>
      </w:r>
    </w:p>
    <w:p>
      <w:pPr>
        <w:spacing w:after="180" w:line="320"/>
        <w:jc w:val="both"/>
      </w:pPr>
      <w:r>
        <w:rPr>
          <w:rFonts w:ascii="IBM Plex Sans" w:cs="IBM Plex Sans" w:eastAsia="IBM Plex Sans" w:hAnsi="IBM Plex Sans"/>
          <w:b/>
          <w:bCs/>
          <w:color w:val="16202B"/>
          <w:sz w:val="21"/>
          <w:szCs w:val="21"/>
        </w:rPr>
        <w:t xml:space="preserve">Nobody owns the metric definition.</w:t>
      </w:r>
      <w:r>
        <w:rPr>
          <w:rFonts w:ascii="IBM Plex Sans" w:cs="IBM Plex Sans" w:eastAsia="IBM Plex Sans" w:hAnsi="IBM Plex Sans"/>
          <w:color w:val="3A4552"/>
          <w:sz w:val="21"/>
          <w:szCs w:val="21"/>
        </w:rPr>
        <w:t xml:space="preserve"> "Revenue" sounds like a simple word, but does it include or exclude refunds? Is it booked or recognized? Does a multi-year contract count in the month it's signed or spread across its term? Every team that has ever needed a revenue number for their own purposes has, at some point, made its own reasonable decision on questions like these — and never reconciled it against anyone else's.</w:t>
      </w:r>
    </w:p>
    <w:p>
      <w:pPr>
        <w:spacing w:after="180" w:line="320"/>
        <w:jc w:val="both"/>
      </w:pPr>
      <w:r>
        <w:rPr>
          <w:rFonts w:ascii="IBM Plex Sans" w:cs="IBM Plex Sans" w:eastAsia="IBM Plex Sans" w:hAnsi="IBM Plex Sans"/>
          <w:b/>
          <w:bCs/>
          <w:color w:val="16202B"/>
          <w:sz w:val="21"/>
          <w:szCs w:val="21"/>
        </w:rPr>
        <w:t xml:space="preserve">Reporting gets built bottom-up, tool by tool.</w:t>
      </w:r>
      <w:r>
        <w:rPr>
          <w:rFonts w:ascii="IBM Plex Sans" w:cs="IBM Plex Sans" w:eastAsia="IBM Plex Sans" w:hAnsi="IBM Plex Sans"/>
          <w:color w:val="3A4552"/>
          <w:sz w:val="21"/>
          <w:szCs w:val="21"/>
        </w:rPr>
        <w:t xml:space="preserve"> A sales dashboard gets built to answer a sales question. A finance model gets built to close the books. A marketing spreadsheet gets built for a board deck. Each is a correct answer to a narrow question, built by a different person, on a different cadence, from a different source. Nobody was ever responsible for making them agree with each other, because agreement was never anyone's job.</w:t>
      </w:r>
    </w:p>
    <w:p>
      <w:pPr>
        <w:spacing w:after="180" w:line="320"/>
        <w:jc w:val="both"/>
      </w:pPr>
      <w:r>
        <w:rPr>
          <w:rFonts w:ascii="IBM Plex Sans" w:cs="IBM Plex Sans" w:eastAsia="IBM Plex Sans" w:hAnsi="IBM Plex Sans"/>
          <w:b/>
          <w:bCs/>
          <w:color w:val="16202B"/>
          <w:sz w:val="21"/>
          <w:szCs w:val="21"/>
        </w:rPr>
        <w:t xml:space="preserve">Spreadsheets quietly become the system of record.</w:t>
      </w:r>
      <w:r>
        <w:rPr>
          <w:rFonts w:ascii="IBM Plex Sans" w:cs="IBM Plex Sans" w:eastAsia="IBM Plex Sans" w:hAnsi="IBM Plex Sans"/>
          <w:color w:val="3A4552"/>
          <w:sz w:val="21"/>
          <w:szCs w:val="21"/>
        </w:rPr>
        <w:t xml:space="preserve"> Even companies with a modern BI stack usually have two or three business-critical spreadsheets that started as a one-off analysis and never stopped being used. They're fragile, undocumented, and usually maintained by whoever built them first — which means the "real" number often lives somewhere the data team doesn't control and can't audit.</w:t>
      </w:r>
    </w:p>
    <w:p>
      <w:pPr>
        <w:spacing w:after="180" w:line="320"/>
        <w:jc w:val="both"/>
      </w:pPr>
      <w:r>
        <w:rPr>
          <w:rFonts w:ascii="IBM Plex Sans" w:cs="IBM Plex Sans" w:eastAsia="IBM Plex Sans" w:hAnsi="IBM Plex Sans"/>
          <w:color w:val="3A4552"/>
          <w:sz w:val="21"/>
          <w:szCs w:val="21"/>
        </w:rPr>
        <w:t xml:space="preserve">None of these are failures of effort. They're the predictable result of reporting that grew organically, one request at a time, with no one accountable for the whole picture.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actually costs</w:t>
      </w:r>
    </w:p>
    <w:p>
      <w:pPr>
        <w:spacing w:after="180" w:line="320"/>
        <w:jc w:val="both"/>
      </w:pPr>
      <w:r>
        <w:rPr>
          <w:rFonts w:ascii="IBM Plex Sans" w:cs="IBM Plex Sans" w:eastAsia="IBM Plex Sans" w:hAnsi="IBM Plex Sans"/>
          <w:color w:val="3A4552"/>
          <w:sz w:val="21"/>
          <w:szCs w:val="21"/>
        </w:rPr>
        <w:t xml:space="preserve">The cost rarely shows up as a single line item, which is exactly why it persists. It shows up as:</w:t>
      </w:r>
    </w:p>
    <w:p>
      <w:pPr>
        <w:pStyle w:val="ListParagraph"/>
        <w:numPr>
          <w:ilvl w:val="0"/>
          <w:numId w:val="2"/>
        </w:numPr>
        <w:spacing w:after="90"/>
      </w:pPr>
      <w:r>
        <w:rPr>
          <w:rFonts w:ascii="IBM Plex Sans" w:cs="IBM Plex Sans" w:eastAsia="IBM Plex Sans" w:hAnsi="IBM Plex Sans"/>
          <w:b/>
          <w:bCs/>
          <w:color w:val="16202B"/>
          <w:sz w:val="21"/>
          <w:szCs w:val="21"/>
        </w:rPr>
        <w:t xml:space="preserve">Decisions made on gut feel</w:t>
      </w:r>
      <w:r>
        <w:rPr>
          <w:rFonts w:ascii="IBM Plex Sans" w:cs="IBM Plex Sans" w:eastAsia="IBM Plex Sans" w:hAnsi="IBM Plex Sans"/>
          <w:color w:val="3A4552"/>
          <w:sz w:val="21"/>
          <w:szCs w:val="21"/>
        </w:rPr>
        <w:t xml:space="preserve">, because leadership has learned not to fully trust any one dashboard, and a felt sense is faster than a reconciliation exercise.</w:t>
      </w:r>
    </w:p>
    <w:p>
      <w:pPr>
        <w:pStyle w:val="ListParagraph"/>
        <w:numPr>
          <w:ilvl w:val="0"/>
          <w:numId w:val="2"/>
        </w:numPr>
        <w:spacing w:after="90"/>
      </w:pPr>
      <w:r>
        <w:rPr>
          <w:rFonts w:ascii="IBM Plex Sans" w:cs="IBM Plex Sans" w:eastAsia="IBM Plex Sans" w:hAnsi="IBM Plex Sans"/>
          <w:b/>
          <w:bCs/>
          <w:color w:val="16202B"/>
          <w:sz w:val="21"/>
          <w:szCs w:val="21"/>
        </w:rPr>
        <w:t xml:space="preserve">Analyst hours spent reconciling</w:t>
      </w:r>
      <w:r>
        <w:rPr>
          <w:rFonts w:ascii="IBM Plex Sans" w:cs="IBM Plex Sans" w:eastAsia="IBM Plex Sans" w:hAnsi="IBM Plex Sans"/>
          <w:color w:val="3A4552"/>
          <w:sz w:val="21"/>
          <w:szCs w:val="21"/>
        </w:rPr>
        <w:t xml:space="preserve">, not analyzing — a meaningful share of a data team's week can go to explaining why two numbers don't match, rather than producing anything new.</w:t>
      </w:r>
    </w:p>
    <w:p>
      <w:pPr>
        <w:pStyle w:val="ListParagraph"/>
        <w:numPr>
          <w:ilvl w:val="0"/>
          <w:numId w:val="2"/>
        </w:numPr>
        <w:spacing w:after="90"/>
      </w:pPr>
      <w:r>
        <w:rPr>
          <w:rFonts w:ascii="IBM Plex Sans" w:cs="IBM Plex Sans" w:eastAsia="IBM Plex Sans" w:hAnsi="IBM Plex Sans"/>
          <w:b/>
          <w:bCs/>
          <w:color w:val="16202B"/>
          <w:sz w:val="21"/>
          <w:szCs w:val="21"/>
        </w:rPr>
        <w:t xml:space="preserve">Credibility risk with the board, investors, or auditors</w:t>
      </w:r>
      <w:r>
        <w:rPr>
          <w:rFonts w:ascii="IBM Plex Sans" w:cs="IBM Plex Sans" w:eastAsia="IBM Plex Sans" w:hAnsi="IBM Plex Sans"/>
          <w:color w:val="3A4552"/>
          <w:sz w:val="21"/>
          <w:szCs w:val="21"/>
        </w:rPr>
        <w:t xml:space="preserve">, the first time someone in the room notices the mismatch and asks which number is correct. That single moment is often what triggers the search for a fix.</w:t>
      </w:r>
    </w:p>
    <w:p>
      <w:pPr>
        <w:pStyle w:val="ListParagraph"/>
        <w:numPr>
          <w:ilvl w:val="0"/>
          <w:numId w:val="2"/>
        </w:numPr>
        <w:spacing w:after="90"/>
      </w:pPr>
      <w:r>
        <w:rPr>
          <w:rFonts w:ascii="IBM Plex Sans" w:cs="IBM Plex Sans" w:eastAsia="IBM Plex Sans" w:hAnsi="IBM Plex Sans"/>
          <w:b/>
          <w:bCs/>
          <w:color w:val="16202B"/>
          <w:sz w:val="21"/>
          <w:szCs w:val="21"/>
        </w:rPr>
        <w:t xml:space="preserve">Slower, more political decision-making</w:t>
      </w:r>
      <w:r>
        <w:rPr>
          <w:rFonts w:ascii="IBM Plex Sans" w:cs="IBM Plex Sans" w:eastAsia="IBM Plex Sans" w:hAnsi="IBM Plex Sans"/>
          <w:color w:val="3A4552"/>
          <w:sz w:val="21"/>
          <w:szCs w:val="21"/>
        </w:rPr>
        <w:t xml:space="preserve">, because when the data is disputed, decisions get made by whoever argues most persuasively rather than by what the numbers show.</w:t>
      </w:r>
    </w:p>
    <w:p>
      <w:pPr>
        <w:spacing w:after="60"/>
      </w:pPr>
      <w:r>
        <w:rPr>
          <w:sz w:val="2"/>
          <w:szCs w:val="2"/>
        </w:rPr>
        <w:t xml:space="preserve"/>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Why buying another dashboard doesn't fix it</w:t>
      </w:r>
    </w:p>
    <w:p>
      <w:pPr>
        <w:spacing w:after="180" w:line="320"/>
        <w:jc w:val="both"/>
      </w:pPr>
      <w:r>
        <w:rPr>
          <w:rFonts w:ascii="IBM Plex Sans" w:cs="IBM Plex Sans" w:eastAsia="IBM Plex Sans" w:hAnsi="IBM Plex Sans"/>
          <w:color w:val="3A4552"/>
          <w:sz w:val="21"/>
          <w:szCs w:val="21"/>
        </w:rPr>
        <w:t xml:space="preserve">The instinctive fix is a new tool: a better BI platform, a flashier executive dashboard, a consultant-built model. It rarely works, because the tool was never the problem. A new dashboard built on the same unreconciled sources, with the same undocumented definitions, just adds a fourth number to the three that already disagree — with a nicer chart.</w:t>
      </w:r>
    </w:p>
    <w:p>
      <w:pPr>
        <w:spacing w:after="180" w:line="320"/>
        <w:jc w:val="both"/>
      </w:pPr>
      <w:r>
        <w:rPr>
          <w:rFonts w:ascii="IBM Plex Sans" w:cs="IBM Plex Sans" w:eastAsia="IBM Plex Sans" w:hAnsi="IBM Plex Sans"/>
          <w:color w:val="3A4552"/>
          <w:sz w:val="21"/>
          <w:szCs w:val="21"/>
        </w:rPr>
        <w:t xml:space="preserve">The fix has to happen upstream of the dashboard: in the definitions, the ownership, and the sources feeding it. That's why we start every reporting engagement with an audit, not a build.</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audit-first approach</w:t>
      </w:r>
    </w:p>
    <w:p>
      <w:pPr>
        <w:spacing w:after="180" w:line="320"/>
        <w:jc w:val="both"/>
      </w:pPr>
      <w:r>
        <w:rPr>
          <w:rFonts w:ascii="IBM Plex Sans" w:cs="IBM Plex Sans" w:eastAsia="IBM Plex Sans" w:hAnsi="IBM Plex Sans"/>
          <w:color w:val="3A4552"/>
          <w:sz w:val="21"/>
          <w:szCs w:val="21"/>
        </w:rPr>
        <w:t xml:space="preserve">An audit-first engagement runs in three phases, and nothing gets rebuilt until the audit is complete.</w:t>
      </w:r>
    </w:p>
    <w:p>
      <w:pPr>
        <w:spacing w:after="180" w:line="320"/>
        <w:jc w:val="both"/>
      </w:pPr>
      <w:r>
        <w:rPr>
          <w:rFonts w:ascii="IBM Plex Sans" w:cs="IBM Plex Sans" w:eastAsia="IBM Plex Sans" w:hAnsi="IBM Plex Sans"/>
          <w:b/>
          <w:bCs/>
          <w:color w:val="16202B"/>
          <w:sz w:val="21"/>
          <w:szCs w:val="21"/>
        </w:rPr>
        <w:t xml:space="preserve">Phase 1 — Audit (Weeks 1–2).</w:t>
      </w:r>
      <w:r>
        <w:rPr>
          <w:rFonts w:ascii="IBM Plex Sans" w:cs="IBM Plex Sans" w:eastAsia="IBM Plex Sans" w:hAnsi="IBM Plex Sans"/>
          <w:color w:val="3A4552"/>
          <w:sz w:val="21"/>
          <w:szCs w:val="21"/>
        </w:rPr>
        <w:t xml:space="preserve"> We inventory every report, dashboard, and spreadsheet leadership currently relies on, and interview each function on what they trust and what they quietly work around. Every metric with more than one definition in active use gets logged, along with which teams use which version and why. The output is a metric discrepancy log — not an opinion about what's wrong, but a documented, specific list of every place the numbers disagree and why.</w:t>
      </w:r>
    </w:p>
    <w:p>
      <w:pPr>
        <w:spacing w:after="180" w:line="320"/>
        <w:jc w:val="both"/>
      </w:pPr>
      <w:r>
        <w:rPr>
          <w:rFonts w:ascii="IBM Plex Sans" w:cs="IBM Plex Sans" w:eastAsia="IBM Plex Sans" w:hAnsi="IBM Plex Sans"/>
          <w:b/>
          <w:bCs/>
          <w:color w:val="16202B"/>
          <w:sz w:val="21"/>
          <w:szCs w:val="21"/>
        </w:rPr>
        <w:t xml:space="preserve">Phase 2 — Design &amp; build (Weeks 3–6).</w:t>
      </w:r>
      <w:r>
        <w:rPr>
          <w:rFonts w:ascii="IBM Plex Sans" w:cs="IBM Plex Sans" w:eastAsia="IBM Plex Sans" w:hAnsi="IBM Plex Sans"/>
          <w:color w:val="3A4552"/>
          <w:sz w:val="21"/>
          <w:szCs w:val="21"/>
        </w:rPr>
        <w:t xml:space="preserve"> Metric by metric, we bring the relevant owners into a room and get one agreed definition — documented, dated, and signed off by the people who'll be held to it. The executive dashboard gets rebuilt around those agreed definitions and a single source system per metric, so the dashboard is a reflection of a decision that was already made, not a decision made by whoever built the chart.</w:t>
      </w:r>
    </w:p>
    <w:p>
      <w:pPr>
        <w:spacing w:after="180" w:line="320"/>
        <w:jc w:val="both"/>
      </w:pPr>
      <w:r>
        <w:rPr>
          <w:rFonts w:ascii="IBM Plex Sans" w:cs="IBM Plex Sans" w:eastAsia="IBM Plex Sans" w:hAnsi="IBM Plex Sans"/>
          <w:b/>
          <w:bCs/>
          <w:color w:val="16202B"/>
          <w:sz w:val="21"/>
          <w:szCs w:val="21"/>
        </w:rPr>
        <w:t xml:space="preserve">Phase 3 — Hand off (Weeks 7–8).</w:t>
      </w:r>
      <w:r>
        <w:rPr>
          <w:rFonts w:ascii="IBM Plex Sans" w:cs="IBM Plex Sans" w:eastAsia="IBM Plex Sans" w:hAnsi="IBM Plex Sans"/>
          <w:color w:val="3A4552"/>
          <w:sz w:val="21"/>
          <w:szCs w:val="21"/>
        </w:rPr>
        <w:t xml:space="preserve"> We train the team who will own the dashboard going forward, set a review cadence so definitions don't quietly drift again, and hand over a metric glossary that documents what "revenue," "active customer," or "churn" mean — for good, until someone deliberately decides to change it.</w:t>
      </w:r>
    </w:p>
    <w:p>
      <w:pPr>
        <w:spacing w:after="180" w:line="320"/>
        <w:jc w:val="both"/>
      </w:pPr>
      <w:r>
        <w:rPr>
          <w:rFonts w:ascii="IBM Plex Sans" w:cs="IBM Plex Sans" w:eastAsia="IBM Plex Sans" w:hAnsi="IBM Plex Sans"/>
          <w:color w:val="3A4552"/>
          <w:sz w:val="21"/>
          <w:szCs w:val="21"/>
        </w:rPr>
        <w:t xml:space="preserve">This is deliberately the same discipline behind every Tesatori engagement, sized to reporting: audit what exists, design and build the fix directly with your team, then hand off so it keeps running without us in the room.</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"single source of truth" actually means</w:t>
      </w:r>
    </w:p>
    <w:p>
      <w:pPr>
        <w:spacing w:after="180" w:line="320"/>
        <w:jc w:val="both"/>
      </w:pPr>
      <w:r>
        <w:rPr>
          <w:rFonts w:ascii="IBM Plex Sans" w:cs="IBM Plex Sans" w:eastAsia="IBM Plex Sans" w:hAnsi="IBM Plex Sans"/>
          <w:color w:val="3A4552"/>
          <w:sz w:val="21"/>
          <w:szCs w:val="21"/>
        </w:rPr>
        <w:t xml:space="preserve">It's a phrase that gets used loosely, so it's worth being precise about what it does and doesn't mean.</w:t>
      </w:r>
    </w:p>
    <w:p>
      <w:pPr>
        <w:spacing w:after="180" w:line="320"/>
        <w:jc w:val="both"/>
      </w:pPr>
      <w:r>
        <w:rPr>
          <w:rFonts w:ascii="IBM Plex Sans" w:cs="IBM Plex Sans" w:eastAsia="IBM Plex Sans" w:hAnsi="IBM Plex Sans"/>
          <w:color w:val="3A4552"/>
          <w:sz w:val="21"/>
          <w:szCs w:val="21"/>
        </w:rPr>
        <w:t xml:space="preserve">It does not mean one tool. A company can run a single source of truth across three different systems, as long as each metric has exactly one agreed definition and one system that's authoritative for it. It does not mean one dashboard, either — different audiences legitimately need different views. What it means is this: for any given metric, there is one number, one documented definition, and one owner accountable for it — and every dashboard that shows that metric, however it's sliced or filtered, is drawing from the same agreed answer.</w:t>
      </w:r>
    </w:p>
    <w:p>
      <w:pPr>
        <w:spacing w:after="180" w:line="320"/>
        <w:jc w:val="both"/>
      </w:pPr>
      <w:r>
        <w:rPr>
          <w:rFonts w:ascii="IBM Plex Sans" w:cs="IBM Plex Sans" w:eastAsia="IBM Plex Sans" w:hAnsi="IBM Plex Sans"/>
          <w:color w:val="3A4552"/>
          <w:sz w:val="21"/>
          <w:szCs w:val="21"/>
        </w:rPr>
        <w:t xml:space="preserve">That's a governance outcome, not a technology purchase. It's the reason the fix starts with an audit and a set of agreed definitions, not with new software.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looks like in practice</w:t>
      </w:r>
    </w:p>
    <w:p>
      <w:pPr>
        <w:spacing w:after="180" w:line="320"/>
        <w:jc w:val="both"/>
      </w:pPr>
      <w:r>
        <w:rPr>
          <w:rFonts w:ascii="IBM Plex Sans" w:cs="IBM Plex Sans" w:eastAsia="IBM Plex Sans" w:hAnsi="IBM Plex Sans"/>
          <w:color w:val="3A4552"/>
          <w:sz w:val="21"/>
          <w:szCs w:val="21"/>
        </w:rPr>
        <w:t xml:space="preserve">One of our clients — a growing B2B SaaS company — came to us with exactly this problem: three different teams had three different revenue numbers, and nobody could say with confidence which one was right. The audit found the cause in about two weeks: sales counted a deal as revenue the day it was signed, finance recognized it on a schedule tied to delivery, and the marketing spreadsheet used to build board decks pulled a stale export that hadn't matched either system in months.</w:t>
      </w:r>
    </w:p>
    <w:p>
      <w:pPr>
        <w:spacing w:after="180" w:line="320"/>
        <w:jc w:val="both"/>
      </w:pPr>
      <w:r>
        <w:rPr>
          <w:rFonts w:ascii="IBM Plex Sans" w:cs="IBM Plex Sans" w:eastAsia="IBM Plex Sans" w:hAnsi="IBM Plex Sans"/>
          <w:color w:val="3A4552"/>
          <w:sz w:val="21"/>
          <w:szCs w:val="21"/>
        </w:rPr>
        <w:t xml:space="preserve">None of the three was "wrong." They were each internally consistent, built for a different purpose, by a different team, at a different time. The fix wasn't a new dashboard — it was getting those three teams into a room, agreeing on one definition of revenue for company-wide reporting, and rebuilding a single executive dashboard around that agreed number. The result, in the client's own words, was one dashboard everyone actually trusts.</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Signals you're already living this problem</w:t>
      </w:r>
    </w:p>
    <w:p>
      <w:pPr>
        <w:spacing w:after="180" w:line="320"/>
        <w:jc w:val="both"/>
      </w:pPr>
      <w:r>
        <w:rPr>
          <w:rFonts w:ascii="IBM Plex Sans" w:cs="IBM Plex Sans" w:eastAsia="IBM Plex Sans" w:hAnsi="IBM Plex Sans"/>
          <w:color w:val="3A4552"/>
          <w:sz w:val="21"/>
          <w:szCs w:val="21"/>
        </w:rPr>
        <w:t xml:space="preserve">A leadership team usually doesn't need a formal audit to know something is off. A few reliable signals:</w:t>
      </w:r>
    </w:p>
    <w:p>
      <w:pPr>
        <w:pStyle w:val="ListParagraph"/>
        <w:numPr>
          <w:ilvl w:val="0"/>
          <w:numId w:val="2"/>
        </w:numPr>
        <w:spacing w:after="90"/>
      </w:pPr>
      <w:r>
        <w:rPr>
          <w:rFonts w:ascii="IBM Plex Sans" w:cs="IBM Plex Sans" w:eastAsia="IBM Plex Sans" w:hAnsi="IBM Plex Sans"/>
          <w:color w:val="3A4552"/>
          <w:sz w:val="21"/>
          <w:szCs w:val="21"/>
        </w:rPr>
        <w:t xml:space="preserve">Two people can open dashboards for the same metric and get different numbers, and nobody's surprised.</w:t>
      </w:r>
    </w:p>
    <w:p>
      <w:pPr>
        <w:pStyle w:val="ListParagraph"/>
        <w:numPr>
          <w:ilvl w:val="0"/>
          <w:numId w:val="2"/>
        </w:numPr>
        <w:spacing w:after="90"/>
      </w:pPr>
      <w:r>
        <w:rPr>
          <w:rFonts w:ascii="IBM Plex Sans" w:cs="IBM Plex Sans" w:eastAsia="IBM Plex Sans" w:hAnsi="IBM Plex Sans"/>
          <w:color w:val="3A4552"/>
          <w:sz w:val="21"/>
          <w:szCs w:val="21"/>
        </w:rPr>
        <w:t xml:space="preserve">A recurring leadership meeting includes a few minutes of "whose number do we trust" before the real discussion starts.</w:t>
      </w:r>
    </w:p>
    <w:p>
      <w:pPr>
        <w:pStyle w:val="ListParagraph"/>
        <w:numPr>
          <w:ilvl w:val="0"/>
          <w:numId w:val="2"/>
        </w:numPr>
        <w:spacing w:after="90"/>
      </w:pPr>
      <w:r>
        <w:rPr>
          <w:rFonts w:ascii="IBM Plex Sans" w:cs="IBM Plex Sans" w:eastAsia="IBM Plex Sans" w:hAnsi="IBM Plex Sans"/>
          <w:color w:val="3A4552"/>
          <w:sz w:val="21"/>
          <w:szCs w:val="21"/>
        </w:rPr>
        <w:t xml:space="preserve">At least one business-critical number lives in a spreadsheet that only one person really understands.</w:t>
      </w:r>
    </w:p>
    <w:p>
      <w:pPr>
        <w:pStyle w:val="ListParagraph"/>
        <w:numPr>
          <w:ilvl w:val="0"/>
          <w:numId w:val="2"/>
        </w:numPr>
        <w:spacing w:after="90"/>
      </w:pPr>
      <w:r>
        <w:rPr>
          <w:rFonts w:ascii="IBM Plex Sans" w:cs="IBM Plex Sans" w:eastAsia="IBM Plex Sans" w:hAnsi="IBM Plex Sans"/>
          <w:color w:val="3A4552"/>
          <w:sz w:val="21"/>
          <w:szCs w:val="21"/>
        </w:rPr>
        <w:t xml:space="preserve">The most recent board deck required manual reconciliation between systems before it could go out.</w:t>
      </w:r>
    </w:p>
    <w:p>
      <w:pPr>
        <w:pStyle w:val="ListParagraph"/>
        <w:numPr>
          <w:ilvl w:val="0"/>
          <w:numId w:val="2"/>
        </w:numPr>
        <w:spacing w:after="90"/>
      </w:pPr>
      <w:r>
        <w:rPr>
          <w:rFonts w:ascii="IBM Plex Sans" w:cs="IBM Plex Sans" w:eastAsia="IBM Plex Sans" w:hAnsi="IBM Plex Sans"/>
          <w:color w:val="3A4552"/>
          <w:sz w:val="21"/>
          <w:szCs w:val="21"/>
        </w:rPr>
        <w:t xml:space="preserve">Nobody could tell you, in one sentence, who owns the definition of your most important metric.</w:t>
      </w:r>
    </w:p>
    <w:p>
      <w:pPr>
        <w:spacing w:after="60"/>
      </w:pPr>
      <w:r>
        <w:rPr>
          <w:sz w:val="2"/>
          <w:szCs w:val="2"/>
        </w:rPr>
        <w:t xml:space="preserve"/>
      </w:r>
    </w:p>
    <w:p>
      <w:pPr>
        <w:spacing w:after="180" w:line="320"/>
        <w:jc w:val="both"/>
      </w:pPr>
      <w:r>
        <w:rPr>
          <w:rFonts w:ascii="IBM Plex Sans" w:cs="IBM Plex Sans" w:eastAsia="IBM Plex Sans" w:hAnsi="IBM Plex Sans"/>
          <w:color w:val="3A4552"/>
          <w:sz w:val="21"/>
          <w:szCs w:val="21"/>
        </w:rPr>
        <w:t xml:space="preserve">If two or more of these sound familiar, the underlying cause is very likely structural, not a dashboard problem — and worth treating as one.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Getting started</w:t>
      </w:r>
    </w:p>
    <w:p>
      <w:pPr>
        <w:spacing w:after="180" w:line="320"/>
        <w:jc w:val="both"/>
      </w:pPr>
      <w:r>
        <w:rPr>
          <w:rFonts w:ascii="IBM Plex Sans" w:cs="IBM Plex Sans" w:eastAsia="IBM Plex Sans" w:hAnsi="IBM Plex Sans"/>
          <w:color w:val="3A4552"/>
          <w:sz w:val="21"/>
          <w:szCs w:val="21"/>
        </w:rPr>
        <w:t xml:space="preserve">Tesatori's Reporting &amp; Dashboard Analysis is a fixed-scope, 6–8 week engagement built around exactly this method: a full audit of current reports and dashboards, a rebuilt executive dashboard around a single source of truth, and a documented metric glossary the business can hold itself to going forward. It's fixed price at $60,000, with no hourly clock and no ambiguity about what's delivered.</w:t>
      </w:r>
    </w:p>
    <w:p>
      <w:pPr>
        <w:spacing w:after="180" w:line="320"/>
        <w:jc w:val="both"/>
      </w:pPr>
      <w:r>
        <w:rPr>
          <w:rFonts w:ascii="IBM Plex Sans" w:cs="IBM Plex Sans" w:eastAsia="IBM Plex Sans" w:hAnsi="IBM Plex Sans"/>
          <w:color w:val="3A4552"/>
          <w:sz w:val="21"/>
          <w:szCs w:val="21"/>
        </w:rPr>
        <w:t xml:space="preserve">It's also deliberately the first of three layers. Reporting exposes where the data can't be trusted; data governance fixes the ownership and access model that caused it; AI governance keeps both in place as AI tools start touching the same data. Most engagements start here, because you can't govern — or safely automate — what you can't yet agree on.</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About Tesatori Technologies</w:t>
      </w:r>
    </w:p>
    <w:p>
      <w:pPr>
        <w:spacing w:after="180" w:line="320"/>
        <w:jc w:val="both"/>
      </w:pPr>
      <w:r>
        <w:rPr>
          <w:rFonts w:ascii="IBM Plex Sans" w:cs="IBM Plex Sans" w:eastAsia="IBM Plex Sans" w:hAnsi="IBM Plex Sans"/>
          <w:color w:val="3A4552"/>
          <w:sz w:val="21"/>
          <w:szCs w:val="21"/>
        </w:rPr>
        <w:t xml:space="preserve">Tesatori Technologies is a fractional CDO/CAO advisory that builds the reporting, governance, and AI oversight layers growing companies need before the next board meeting, audit, or AI rollout forces the issue. Engagements are fixed-scope and senior-led, sized specifically for mid-market companies that have outgrown informal data practices but haven't yet built a dedicated data function.</w:t>
      </w:r>
    </w:p>
    <w:p>
      <w:pPr>
        <w:spacing w:after="180" w:line="320"/>
        <w:jc w:val="both"/>
      </w:pPr>
      <w:r>
        <w:rPr>
          <w:rFonts w:ascii="IBM Plex Sans" w:cs="IBM Plex Sans" w:eastAsia="IBM Plex Sans" w:hAnsi="IBM Plex Sans"/>
          <w:b/>
          <w:bCs/>
          <w:color w:val="16202B"/>
          <w:sz w:val="22"/>
          <w:szCs w:val="22"/>
        </w:rPr>
        <w:t xml:space="preserve">Ready to see where your own numbers disagree?</w:t>
      </w:r>
      <w:r>
        <w:rPr>
          <w:rFonts w:ascii="IBM Plex Sans" w:cs="IBM Plex Sans" w:eastAsia="IBM Plex Sans" w:hAnsi="IBM Plex Sans"/>
          <w:color w:val="16202B"/>
          <w:sz w:val="22"/>
          <w:szCs w:val="22"/>
        </w:rPr>
        <w:t xml:space="preserve"> Book a 30-minute fit call, no obligation, at calendly.com/devon-tesatoritechnologies/30min — or reach us at contact@tesatoritechnologies.com.</w:t>
      </w:r>
    </w:p>
    <w:sectPr>
      <w:headerReference w:type="default" r:id="rId7"/>
      <w:footerReference w:type="default" r:id="rId8"/>
      <w:pgSz w:w="12240" w:h="15840" w:orient="portrait"/>
      <w:pgMar w:top="13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9D3" w:sz="4" w:space="6"/>
      </w:pBdr>
      <w:tabs>
        <w:tab w:val="right" w:pos="9360"/>
      </w:tabs>
    </w:pPr>
    <w:r>
      <w:rPr>
        <w:rFonts w:ascii="IBM Plex Sans" w:cs="IBM Plex Sans" w:eastAsia="IBM Plex Sans" w:hAnsi="IBM Plex Sans"/>
        <w:color w:val="5B6B7A"/>
        <w:sz w:val="15"/>
        <w:szCs w:val="15"/>
      </w:rPr>
      <w:t xml:space="preserve">Building a Single Source of Truth for Executive Reporting</w:t>
    </w:r>
    <w:r>
      <w:rPr>
        <w:rFonts w:ascii="IBM Plex Sans" w:cs="IBM Plex Sans" w:eastAsia="IBM Plex Sans" w:hAnsi="IBM Plex Sans"/>
        <w:color w:val="5B6B7A"/>
        <w:sz w:val="15"/>
        <w:szCs w:val="15"/>
      </w:rPr>
      <w:t xml:space="preserve">	</w:t>
    </w:r>
    <w:r>
      <w:rPr>
        <w:rFonts w:ascii="IBM Plex Sans" w:cs="IBM Plex Sans" w:eastAsia="IBM Plex Sans" w:hAnsi="IBM Plex Sans"/>
        <w:color w:val="5B6B7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9D3" w:sz="4" w:space="6"/>
      </w:pBdr>
      <w:tabs>
        <w:tab w:val="right" w:pos="9360"/>
      </w:tabs>
    </w:pPr>
    <w:r>
      <w:rPr>
        <w:rFonts w:ascii="IBM Plex Mono" w:cs="IBM Plex Mono" w:eastAsia="IBM Plex Mono" w:hAnsi="IBM Plex Mono"/>
        <w:color w:val="5B6B7A"/>
        <w:sz w:val="14"/>
        <w:szCs w:val="14"/>
      </w:rPr>
      <w:t xml:space="preserve">TESATORI TECHNOLOGIES</w:t>
    </w:r>
    <w:r>
      <w:rPr>
        <w:rFonts w:ascii="IBM Plex Mono" w:cs="IBM Plex Mono" w:eastAsia="IBM Plex Mono" w:hAnsi="IBM Plex Mono"/>
        <w:color w:val="A67C3D"/>
        <w:sz w:val="14"/>
        <w:szCs w:val="14"/>
      </w:rPr>
      <w:t xml:space="preserve">	WHITEPAPER · LAYER 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rFonts w:ascii="IBM Plex Mono" w:cs="IBM Plex Mono" w:eastAsia="IBM Plex Mono" w:hAnsi="IBM Plex Mono"/>
        <w:color w:val="A67C3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2026-09-14T11:55:10.222Z</dcterms:created>
  <dcterms:modified xsi:type="dcterms:W3CDTF">2026-09-14T11:55:10.222Z</dcterms:modified>
</cp:coreProperties>
</file>

<file path=docProps/custom.xml><?xml version="1.0" encoding="utf-8"?>
<Properties xmlns="http://schemas.openxmlformats.org/officeDocument/2006/custom-properties" xmlns:vt="http://schemas.openxmlformats.org/officeDocument/2006/docPropsVTypes"/>
</file>